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pPr>
      <w:r>
        <w:rPr>
          <w:rFonts w:ascii="Calibri" w:hAnsi="Calibri"/>
          <w:b/>
          <w:color w:val="059669"/>
          <w:sz w:val="20"/>
        </w:rPr>
        <w:t>INDEPENDENT CONSULTANT TEMPLATE</w:t>
      </w:r>
    </w:p>
    <w:p>
      <w:pPr>
        <w:spacing w:after="160"/>
      </w:pPr>
      <w:r>
        <w:rPr>
          <w:rFonts w:ascii="Calibri" w:hAnsi="Calibri"/>
          <w:b/>
          <w:color w:val="1E293B"/>
          <w:sz w:val="60"/>
        </w:rPr>
        <w:t>Retainer Agreement</w:t>
      </w:r>
    </w:p>
    <w:p>
      <w:pPr>
        <w:spacing w:after="360"/>
      </w:pPr>
      <w:r>
        <w:rPr>
          <w:rFonts w:ascii="Calibri" w:hAnsi="Calibri"/>
          <w:color w:val="64748B"/>
          <w:sz w:val="26"/>
        </w:rPr>
        <w:t>A customizable starting point for ongoing consulting engagements</w:t>
      </w:r>
    </w:p>
    <w:tbl>
      <w:tblPr>
        <w:tblW w:type="auto" w:w="0"/>
        <w:jc w:val="left"/>
        <w:tblLayout w:type="fixed"/>
        <w:tblLook w:firstColumn="1" w:firstRow="1" w:lastColumn="0" w:lastRow="0" w:noHBand="0" w:noVBand="1" w:val="04A0"/>
      </w:tblPr>
      <w:tblGrid>
        <w:gridCol w:w="4680"/>
        <w:gridCol w:w="4680"/>
      </w:tblGrid>
      <w:tr>
        <w:tc>
          <w:tcPr>
            <w:tcW w:type="dxa" w:w="4680"/>
            <w:tcMar>
              <w:top w:w="100" w:type="dxa"/>
              <w:start w:w="120" w:type="dxa"/>
              <w:bottom w:w="100" w:type="dxa"/>
              <w:end w:w="120" w:type="dxa"/>
            </w:tcMar>
            <w:vAlign w:val="center"/>
          </w:tcPr>
          <w:p>
            <w:pPr>
              <w:spacing w:after="0"/>
            </w:pPr>
            <w:r>
              <w:rPr>
                <w:b/>
                <w:color w:val="1E293B"/>
              </w:rPr>
              <w:t xml:space="preserve">Consultant: </w:t>
            </w:r>
            <w:r>
              <w:rPr>
                <w:color w:val="64748B"/>
              </w:rPr>
              <w:t>[Consultant legal name / business]</w:t>
            </w:r>
          </w:p>
        </w:tc>
        <w:tc>
          <w:tcPr>
            <w:tcW w:type="dxa" w:w="4680"/>
            <w:tcMar>
              <w:top w:w="100" w:type="dxa"/>
              <w:start w:w="120" w:type="dxa"/>
              <w:bottom w:w="100" w:type="dxa"/>
              <w:end w:w="120" w:type="dxa"/>
            </w:tcMar>
            <w:vAlign w:val="center"/>
          </w:tcPr>
          <w:p>
            <w:pPr>
              <w:spacing w:after="0"/>
            </w:pPr>
            <w:r>
              <w:rPr>
                <w:b/>
                <w:color w:val="1E293B"/>
              </w:rPr>
              <w:t xml:space="preserve">Effective date: </w:t>
            </w:r>
            <w:r>
              <w:rPr>
                <w:color w:val="64748B"/>
              </w:rPr>
              <w:t>[Day Month Year]</w:t>
            </w:r>
          </w:p>
        </w:tc>
      </w:tr>
      <w:tr>
        <w:tc>
          <w:tcPr>
            <w:tcW w:type="dxa" w:w="4680"/>
            <w:tcMar>
              <w:top w:w="100" w:type="dxa"/>
              <w:start w:w="120" w:type="dxa"/>
              <w:bottom w:w="100" w:type="dxa"/>
              <w:end w:w="120" w:type="dxa"/>
            </w:tcMar>
            <w:vAlign w:val="center"/>
          </w:tcPr>
          <w:p>
            <w:pPr>
              <w:spacing w:after="0"/>
            </w:pPr>
            <w:r>
              <w:rPr>
                <w:b/>
                <w:color w:val="1E293B"/>
              </w:rPr>
              <w:t xml:space="preserve">Client: </w:t>
            </w:r>
            <w:r>
              <w:rPr>
                <w:color w:val="64748B"/>
              </w:rPr>
              <w:t>[Client legal name / business]</w:t>
            </w:r>
          </w:p>
        </w:tc>
        <w:tc>
          <w:tcPr>
            <w:tcW w:type="dxa" w:w="4680"/>
            <w:tcMar>
              <w:top w:w="100" w:type="dxa"/>
              <w:start w:w="120" w:type="dxa"/>
              <w:bottom w:w="100" w:type="dxa"/>
              <w:end w:w="120" w:type="dxa"/>
            </w:tcMar>
            <w:vAlign w:val="center"/>
          </w:tcPr>
          <w:p>
            <w:pPr>
              <w:spacing w:after="0"/>
            </w:pPr>
            <w:r>
              <w:rPr>
                <w:b/>
                <w:color w:val="1E293B"/>
              </w:rPr>
              <w:t xml:space="preserve">Initial term: </w:t>
            </w:r>
            <w:r>
              <w:rPr>
                <w:color w:val="64748B"/>
              </w:rPr>
              <w:t>[Number] months</w:t>
            </w:r>
          </w:p>
        </w:tc>
      </w:tr>
    </w:tbl>
    <w:p>
      <w:pPr>
        <w:spacing w:before="280" w:after="240"/>
      </w:pPr>
      <w:r>
        <w:rPr>
          <w:b/>
          <w:color w:val="78350F"/>
        </w:rPr>
        <w:t>Important: This general template is not legal advice. Laws and enforceability vary by location and engagement. Replace every bracketed field and ask a qualified legal professional to review the final agreement before use.</w:t>
      </w:r>
    </w:p>
    <w:p>
      <w:pPr>
        <w:pStyle w:val="Heading1"/>
      </w:pPr>
      <w:r>
        <w:t>Agreement</w:t>
      </w:r>
    </w:p>
    <w:p>
      <w:r>
        <w:t>This Retainer Agreement (the “Agreement”) is entered into by [Consultant legal name / business] (the “Consultant”) and [Client legal name / business] (the “Client”). Together, they are the “Parties.”</w:t>
      </w:r>
    </w:p>
    <w:p>
      <w:pPr>
        <w:pStyle w:val="ListNumber"/>
      </w:pPr>
      <w:r>
        <w:t>Services and scope</w:t>
      </w:r>
    </w:p>
    <w:p>
      <w:r>
        <w:t>The Consultant will provide the following services: [describe the ongoing advice, deliverables, sessions, reviews, or support included].</w:t>
      </w:r>
    </w:p>
    <w:p>
      <w:r>
        <w:t>The monthly retainer includes [number of hours / number of sessions / named deliverables] during each billing period. Work outside this scope requires written approval and may be charged separately under clause 5.</w:t>
      </w:r>
    </w:p>
    <w:p>
      <w:pPr>
        <w:pStyle w:val="ListNumber"/>
      </w:pPr>
      <w:r>
        <w:t>Term and renewal</w:t>
      </w:r>
    </w:p>
    <w:p>
      <w:r>
        <w:t>The Agreement begins on [start date] and continues for an initial term of [number] months. After the initial term, it [renews month to month / renews for additional terms of length] unless either Party gives the notice required under clause 11.</w:t>
      </w:r>
    </w:p>
    <w:p>
      <w:pPr>
        <w:pStyle w:val="ListNumber"/>
      </w:pPr>
      <w:r>
        <w:t>Availability and response times</w:t>
      </w:r>
    </w:p>
    <w:p>
      <w:r>
        <w:t>The Consultant will normally be available [days and hours, including time zone]. The target response time for routine requests is [number] business days. Urgent or out-of-hours work is not included unless agreed in writing.</w:t>
      </w:r>
    </w:p>
    <w:p>
      <w:pPr>
        <w:pStyle w:val="ListNumber"/>
      </w:pPr>
      <w:r>
        <w:t>Retainer fee and payment</w:t>
      </w:r>
    </w:p>
    <w:p>
      <w:r>
        <w:t>The Client will pay a retainer fee of [currency and amount] per [month / billing period], due on [date or billing rule]. Payment will be collected by [payment method].</w:t>
      </w:r>
    </w:p>
    <w:p>
      <w:r>
        <w:t>The fee reserves the Consultant’s capacity and covers the services stated in clause 1. State here whether unused capacity [expires at the end of the billing period / rolls over subject to the following limit: details].</w:t>
      </w:r>
    </w:p>
    <w:p>
      <w:pPr>
        <w:pStyle w:val="ListNumber"/>
      </w:pPr>
      <w:r>
        <w:t>Additional work and overages</w:t>
      </w:r>
    </w:p>
    <w:p>
      <w:r>
        <w:t>Work beyond the included scope will only begin after the Client approves the additional work in writing. Additional work will be charged at [currency and rate per hour / fixed fee] and invoiced [when].</w:t>
      </w:r>
    </w:p>
    <w:p>
      <w:r>
        <w:t>If the Client requests a material change to the scope, the Parties will agree a revised fee, delivery timing, or separate statement of work before the change begins.</w:t>
      </w:r>
    </w:p>
    <w:p>
      <w:pPr>
        <w:pStyle w:val="ListNumber"/>
      </w:pPr>
      <w:r>
        <w:t>Client responsibilities</w:t>
      </w:r>
    </w:p>
    <w:p>
      <w:r>
        <w:t>The Client will provide timely access to the information, people, systems, decisions, and approvals reasonably needed for the services. Delays caused by missing Client input may move delivery dates without reducing the retainer fee.</w:t>
      </w:r>
    </w:p>
    <w:p>
      <w:pPr>
        <w:pStyle w:val="ListNumber"/>
      </w:pPr>
      <w:r>
        <w:t>Expenses</w:t>
      </w:r>
    </w:p>
    <w:p>
      <w:r>
        <w:t>The Client will reimburse only expenses approved in writing before they are incurred. The Consultant will provide reasonable evidence of approved expenses with the relevant invoice.</w:t>
      </w:r>
    </w:p>
    <w:p>
      <w:pPr>
        <w:pStyle w:val="ListNumber"/>
      </w:pPr>
      <w:r>
        <w:t>Confidentiality and data</w:t>
      </w:r>
    </w:p>
    <w:p>
      <w:r>
        <w:t>Each Party will protect confidential information received from the other Party and use it only to perform or receive the services. This duty does not cover information that is public through no breach, already lawfully known, independently developed, or lawfully received from another source.</w:t>
      </w:r>
    </w:p>
    <w:p>
      <w:r>
        <w:t>If the Consultant will process personal data for the Client, add the privacy, security, retention, and data-processing terms required for the engagement and applicable law.</w:t>
      </w:r>
    </w:p>
    <w:p>
      <w:pPr>
        <w:pStyle w:val="ListNumber"/>
      </w:pPr>
      <w:r>
        <w:t>Intellectual property</w:t>
      </w:r>
    </w:p>
    <w:p>
      <w:r>
        <w:t>The Consultant keeps ownership of pre-existing tools, methods, templates, know-how, and materials. After full payment, ownership or licence rights in engagement-specific deliverables will be: [state clearly who owns them and what use is permitted].</w:t>
      </w:r>
    </w:p>
    <w:p>
      <w:r>
        <w:t>The Client confirms that it has the right to provide any materials supplied to the Consultant for use in the engagement.</w:t>
      </w:r>
    </w:p>
    <w:p>
      <w:pPr>
        <w:pStyle w:val="ListNumber"/>
      </w:pPr>
      <w:r>
        <w:t>Independent contractor</w:t>
      </w:r>
    </w:p>
    <w:p>
      <w:r>
        <w:t>The Consultant is an independent contractor and not an employee, agent, partner, or joint venturer of the Client. The Consultant is responsible for their own taxes, insurance, equipment, and working methods, subject to the agreed outcomes and deadlines.</w:t>
      </w:r>
    </w:p>
    <w:p>
      <w:pPr>
        <w:pStyle w:val="ListNumber"/>
      </w:pPr>
      <w:r>
        <w:t>Ending the Agreement</w:t>
      </w:r>
    </w:p>
    <w:p>
      <w:r>
        <w:t>Either Party may end this Agreement for convenience by giving [number] days’ written notice. Either Party may end it immediately if the other Party materially breaches the Agreement and does not remedy the breach within [number] days after written notice, or where immediate termination is permitted by law.</w:t>
      </w:r>
    </w:p>
    <w:p>
      <w:r>
        <w:t>On termination, the Client will pay all fees and approved expenses due up to the termination date. State here whether prepaid fees are [non-refundable / refunded pro rata / handled another way]. Clauses intended to survive termination, including confidentiality, intellectual property, and unpaid fees, will continue.</w:t>
      </w:r>
    </w:p>
    <w:p>
      <w:pPr>
        <w:pStyle w:val="ListNumber"/>
      </w:pPr>
      <w:r>
        <w:t>Liability</w:t>
      </w:r>
    </w:p>
    <w:p>
      <w:r>
        <w:t>Add liability terms appropriate to the services, risks, insurance, and governing law. Consider addressing excluded losses, any financial cap, third-party claims, and circumstances that cannot legally be limited. Obtain legal advice before relying on this clause.</w:t>
      </w:r>
    </w:p>
    <w:p>
      <w:pPr>
        <w:pStyle w:val="ListNumber"/>
      </w:pPr>
      <w:r>
        <w:t>Disputes and governing law</w:t>
      </w:r>
    </w:p>
    <w:p>
      <w:r>
        <w:t>Before starting formal proceedings, the Parties will try in good faith to resolve a dispute through direct discussion for at least [number] days, unless urgent relief is required.</w:t>
      </w:r>
    </w:p>
    <w:p>
      <w:r>
        <w:t>This Agreement is governed by the laws of [jurisdiction]. The courts of [jurisdiction] will have [exclusive / non-exclusive] authority, subject to any agreed mediation or arbitration process.</w:t>
      </w:r>
    </w:p>
    <w:p>
      <w:pPr>
        <w:pStyle w:val="ListNumber"/>
      </w:pPr>
      <w:r>
        <w:t>General terms</w:t>
      </w:r>
    </w:p>
    <w:p>
      <w:r>
        <w:t>This Agreement and any attached statement of work form the entire agreement about the services and replace earlier discussions on the same subject. Changes must be agreed in writing by both Parties. Neither Party may transfer the Agreement without the other Party’s written consent, except [permitted exception]. If one term is unenforceable, the remaining terms continue. Electronic signatures and counterparts are permitted where lawful.</w:t>
      </w:r>
    </w:p>
    <w:p>
      <w:r>
        <w:br w:type="page"/>
      </w:r>
    </w:p>
    <w:p>
      <w:pPr>
        <w:pStyle w:val="Heading1"/>
      </w:pPr>
      <w:r>
        <w:t>Signatures</w:t>
      </w:r>
    </w:p>
    <w:tbl>
      <w:tblPr>
        <w:tblW w:type="auto" w:w="0"/>
        <w:jc w:val="left"/>
        <w:tblLayout w:type="fixed"/>
        <w:tblLook w:firstColumn="1" w:firstRow="1" w:lastColumn="0" w:lastRow="0" w:noHBand="0" w:noVBand="1" w:val="04A0"/>
      </w:tblPr>
      <w:tblGrid>
        <w:gridCol w:w="4680"/>
        <w:gridCol w:w="4680"/>
      </w:tblGrid>
      <w:tr>
        <w:trPr>
          <w:cantSplit/>
        </w:trPr>
        <w:tc>
          <w:tcPr>
            <w:tcW w:type="dxa" w:w="4680"/>
            <w:tcMar>
              <w:top w:w="100" w:type="dxa"/>
              <w:start w:w="120" w:type="dxa"/>
              <w:bottom w:w="100" w:type="dxa"/>
              <w:end w:w="120" w:type="dxa"/>
            </w:tcMar>
          </w:tcPr>
          <w:p>
            <w:pPr>
              <w:spacing w:after="0"/>
            </w:pPr>
            <w:r>
              <w:rPr>
                <w:b/>
              </w:rPr>
              <w:t>For the Consultant</w:t>
            </w:r>
          </w:p>
        </w:tc>
        <w:tc>
          <w:tcPr>
            <w:tcW w:type="dxa" w:w="4680"/>
            <w:tcMar>
              <w:top w:w="100" w:type="dxa"/>
              <w:start w:w="120" w:type="dxa"/>
              <w:bottom w:w="100" w:type="dxa"/>
              <w:end w:w="120" w:type="dxa"/>
            </w:tcMar>
          </w:tcPr>
          <w:p>
            <w:pPr>
              <w:spacing w:after="0"/>
            </w:pPr>
            <w:r>
              <w:rPr>
                <w:b/>
              </w:rPr>
              <w:t>For the Client</w:t>
            </w:r>
          </w:p>
        </w:tc>
      </w:tr>
      <w:tr>
        <w:trPr>
          <w:cantSplit/>
        </w:trPr>
        <w:tc>
          <w:tcPr>
            <w:tcW w:type="dxa" w:w="4680"/>
            <w:tcMar>
              <w:top w:w="100" w:type="dxa"/>
              <w:start w:w="120" w:type="dxa"/>
              <w:bottom w:w="100" w:type="dxa"/>
              <w:end w:w="120" w:type="dxa"/>
            </w:tcMar>
          </w:tcPr>
          <w:p>
            <w:pPr>
              <w:spacing w:after="0"/>
            </w:pPr>
            <w:r>
              <w:rPr>
                <w:b w:val="0"/>
              </w:rPr>
              <w:t>Name: ______________________________</w:t>
            </w:r>
          </w:p>
        </w:tc>
        <w:tc>
          <w:tcPr>
            <w:tcW w:type="dxa" w:w="4680"/>
            <w:tcMar>
              <w:top w:w="100" w:type="dxa"/>
              <w:start w:w="120" w:type="dxa"/>
              <w:bottom w:w="100" w:type="dxa"/>
              <w:end w:w="120" w:type="dxa"/>
            </w:tcMar>
          </w:tcPr>
          <w:p>
            <w:pPr>
              <w:spacing w:after="0"/>
            </w:pPr>
            <w:r>
              <w:rPr>
                <w:b w:val="0"/>
              </w:rPr>
              <w:t>Name: ______________________________</w:t>
            </w:r>
          </w:p>
        </w:tc>
      </w:tr>
      <w:tr>
        <w:trPr>
          <w:cantSplit/>
        </w:trPr>
        <w:tc>
          <w:tcPr>
            <w:tcW w:type="dxa" w:w="4680"/>
            <w:tcMar>
              <w:top w:w="100" w:type="dxa"/>
              <w:start w:w="120" w:type="dxa"/>
              <w:bottom w:w="100" w:type="dxa"/>
              <w:end w:w="120" w:type="dxa"/>
            </w:tcMar>
          </w:tcPr>
          <w:p>
            <w:pPr>
              <w:spacing w:after="0"/>
            </w:pPr>
            <w:r>
              <w:rPr>
                <w:b w:val="0"/>
              </w:rPr>
              <w:t>Title: _______________________________</w:t>
            </w:r>
          </w:p>
        </w:tc>
        <w:tc>
          <w:tcPr>
            <w:tcW w:type="dxa" w:w="4680"/>
            <w:tcMar>
              <w:top w:w="100" w:type="dxa"/>
              <w:start w:w="120" w:type="dxa"/>
              <w:bottom w:w="100" w:type="dxa"/>
              <w:end w:w="120" w:type="dxa"/>
            </w:tcMar>
          </w:tcPr>
          <w:p>
            <w:pPr>
              <w:spacing w:after="0"/>
            </w:pPr>
            <w:r>
              <w:rPr>
                <w:b w:val="0"/>
              </w:rPr>
              <w:t>Title: _______________________________</w:t>
            </w:r>
          </w:p>
        </w:tc>
      </w:tr>
      <w:tr>
        <w:trPr>
          <w:cantSplit/>
        </w:trPr>
        <w:tc>
          <w:tcPr>
            <w:tcW w:type="dxa" w:w="4680"/>
            <w:tcMar>
              <w:top w:w="100" w:type="dxa"/>
              <w:start w:w="120" w:type="dxa"/>
              <w:bottom w:w="100" w:type="dxa"/>
              <w:end w:w="120" w:type="dxa"/>
            </w:tcMar>
          </w:tcPr>
          <w:p>
            <w:pPr>
              <w:spacing w:after="0"/>
            </w:pPr>
            <w:r>
              <w:rPr>
                <w:b w:val="0"/>
              </w:rPr>
              <w:t>Signature: ___________________________</w:t>
            </w:r>
          </w:p>
        </w:tc>
        <w:tc>
          <w:tcPr>
            <w:tcW w:type="dxa" w:w="4680"/>
            <w:tcMar>
              <w:top w:w="100" w:type="dxa"/>
              <w:start w:w="120" w:type="dxa"/>
              <w:bottom w:w="100" w:type="dxa"/>
              <w:end w:w="120" w:type="dxa"/>
            </w:tcMar>
          </w:tcPr>
          <w:p>
            <w:pPr>
              <w:spacing w:after="0"/>
            </w:pPr>
            <w:r>
              <w:rPr>
                <w:b w:val="0"/>
              </w:rPr>
              <w:t>Signature: ___________________________</w:t>
            </w:r>
          </w:p>
        </w:tc>
      </w:tr>
      <w:tr>
        <w:trPr>
          <w:cantSplit/>
        </w:trPr>
        <w:tc>
          <w:tcPr>
            <w:tcW w:type="dxa" w:w="4680"/>
            <w:tcMar>
              <w:top w:w="100" w:type="dxa"/>
              <w:start w:w="120" w:type="dxa"/>
              <w:bottom w:w="100" w:type="dxa"/>
              <w:end w:w="120" w:type="dxa"/>
            </w:tcMar>
          </w:tcPr>
          <w:p>
            <w:pPr>
              <w:spacing w:after="0"/>
            </w:pPr>
            <w:r>
              <w:rPr>
                <w:b w:val="0"/>
              </w:rPr>
              <w:t>Date: _______________________________</w:t>
            </w:r>
          </w:p>
        </w:tc>
        <w:tc>
          <w:tcPr>
            <w:tcW w:type="dxa" w:w="4680"/>
            <w:tcMar>
              <w:top w:w="100" w:type="dxa"/>
              <w:start w:w="120" w:type="dxa"/>
              <w:bottom w:w="100" w:type="dxa"/>
              <w:end w:w="120" w:type="dxa"/>
            </w:tcMar>
          </w:tcPr>
          <w:p>
            <w:pPr>
              <w:spacing w:after="0"/>
            </w:pPr>
            <w:r>
              <w:rPr>
                <w:b w:val="0"/>
              </w:rPr>
              <w:t>Date: _______________________________</w:t>
            </w:r>
          </w:p>
        </w:tc>
      </w:tr>
    </w:tbl>
    <w:p>
      <w:pPr>
        <w:pStyle w:val="Heading1"/>
      </w:pPr>
      <w:r>
        <w:t>Before you send it</w:t>
      </w:r>
    </w:p>
    <w:p>
      <w:pPr>
        <w:spacing w:after="100"/>
        <w:ind w:left="540" w:hanging="360"/>
      </w:pPr>
      <w:r>
        <w:rPr>
          <w:b/>
        </w:rPr>
        <w:t xml:space="preserve">☐  </w:t>
      </w:r>
      <w:r>
        <w:t>Replace every bracketed field and remove options that do not apply.</w:t>
      </w:r>
    </w:p>
    <w:p>
      <w:pPr>
        <w:spacing w:after="100"/>
        <w:ind w:left="540" w:hanging="360"/>
      </w:pPr>
      <w:r>
        <w:rPr>
          <w:b/>
        </w:rPr>
        <w:t xml:space="preserve">☐  </w:t>
      </w:r>
      <w:r>
        <w:t>Check that the scope, overage rate, rollover rule, and termination payment terms agree with your actual offer.</w:t>
      </w:r>
    </w:p>
    <w:p>
      <w:pPr>
        <w:spacing w:after="100"/>
        <w:ind w:left="540" w:hanging="360"/>
      </w:pPr>
      <w:r>
        <w:rPr>
          <w:b/>
        </w:rPr>
        <w:t xml:space="preserve">☐  </w:t>
      </w:r>
      <w:r>
        <w:t>Attach any detailed statement of work, service levels, or data-processing terms the engagement needs.</w:t>
      </w:r>
    </w:p>
    <w:p>
      <w:pPr>
        <w:spacing w:after="100"/>
        <w:ind w:left="540" w:hanging="360"/>
      </w:pPr>
      <w:r>
        <w:rPr>
          <w:b/>
        </w:rPr>
        <w:t xml:space="preserve">☐  </w:t>
      </w:r>
      <w:r>
        <w:t>Ask a qualified legal professional in the governing jurisdiction to review the final agreement.</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4748B"/>
        <w:sz w:val="18"/>
      </w:rPr>
      <w:t xml:space="preserve">Independent Consultant Retainer Agreement Template  |  </w:t>
    </w:r>
    <w:fldSimple w:instr="PAG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059669"/>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059669"/>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E293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before="200" w:after="100" w:line="300" w:lineRule="auto"/>
      <w:ind w:left="540" w:hanging="271"/>
      <w:contextualSpacing/>
    </w:pPr>
    <w:rPr>
      <w:rFonts w:ascii="Calibri" w:hAnsi="Calibri"/>
      <w:b/>
      <w:color w:val="1E293B"/>
      <w:sz w:val="24"/>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